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tbl>
      <w:tblPr>
        <w:tblStyle w:val="a3"/>
        <w:tblpPr w:vertAnchor="text" w:horzAnchor="page" w:leftFromText="180" w:rightFromText="180" w:tblpX="1078" w:tblpY="35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5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     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ýykylan jaýlaryň (öýleriň) deregine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berilen öýlerine tükelleýiş işini almak üçin </w:t>
      </w:r>
    </w:p>
    <w:p>
      <w:pPr>
        <w:pStyle w:val="Normal"/>
        <w:tabs>
          <w:tab w:val="clear" w:pos="708"/>
          <w:tab w:val="left" w:pos="4860" w:leader="none"/>
        </w:tabs>
        <w:spacing w:before="0" w:after="0"/>
        <w:ind w:left="142" w:right="567" w:hanging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ab/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 xml:space="preserve">ATTE-nyň başlygyna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Aşgabat şäher häkiminiň kararyna laýyklykda, Aşgabat şäheriniň ____________________ salgy boýunça, öýüne tükelleýiş işini taýýarlap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tabs>
          <w:tab w:val="clear" w:pos="708"/>
          <w:tab w:val="left" w:pos="3456" w:leader="none"/>
        </w:tabs>
        <w:spacing w:lineRule="auto" w:line="240" w:before="0" w:after="0"/>
        <w:ind w:right="283" w:hanging="0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Ýykylan jaýlaryň (öýleriň) deregine berilen öýlerine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tükelleýiş işini almak üçin, zerur bolan resminamalaryň sanawy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№5)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“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tassyklanan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Forma №3;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Ýykylan jaýynyň (öýüniň) tükelleýiş işiniň asyl nusgasy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Berilen öýüň goşmaça meýdanynyň tölegi bar bolan ýagdaýynda, hasap fakturasynyň we töleg geçirilendigi barada kwitansiýalarynyň göçürme nusgalary;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Jaý ulanyş müdirliklerinden ATTE-nyň adyna ugradyş haty;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Образец заявления </w:t>
      </w:r>
    </w:p>
    <w:tbl>
      <w:tblPr>
        <w:tblStyle w:val="a3"/>
        <w:tblpPr w:vertAnchor="text" w:horzAnchor="page" w:leftFromText="180" w:rightFromText="180" w:tblpX="1078" w:tblpY="35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/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изготовления инвентарного дела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>на квартиры выданные по сносу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</w:rPr>
        <w:t>Н</w:t>
      </w:r>
      <w:r>
        <w:rPr>
          <w:rFonts w:cs="Times New Roman" w:ascii="Times New Roman" w:hAnsi="Times New Roman"/>
          <w:sz w:val="32"/>
          <w:szCs w:val="32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от гр.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  <w:t xml:space="preserve">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прожив. по адресу</w:t>
      </w:r>
      <w:r>
        <w:rPr>
          <w:rFonts w:cs="Times New Roman" w:ascii="Times New Roman" w:hAnsi="Times New Roman"/>
          <w:sz w:val="36"/>
          <w:szCs w:val="36"/>
          <w:lang w:val="tk-TM"/>
        </w:rPr>
        <w:t>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тел.</w:t>
      </w:r>
      <w:r>
        <w:rPr>
          <w:rFonts w:cs="Times New Roman" w:ascii="Times New Roman" w:hAnsi="Times New Roman"/>
          <w:sz w:val="36"/>
          <w:szCs w:val="36"/>
          <w:lang w:val="tk-TM"/>
        </w:rPr>
        <w:t>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Прошу Вас изготовить инвентарное дело на квартиру по адресу: г.Ашхабад,__________________, согласно постановления хякима г.Ашхабада за №____ от “___”________20___г.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Перечень документов на изготовление инвентарного дела на квартиры выданные по сносу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№5)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праве собственности на недвижимость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 xml:space="preserve">заверенная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Форма №3 с домоуправления;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снесённого дома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Копия счета и квитанции, в случае если была доплата;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Направление с дом</w:t>
      </w:r>
      <w:r>
        <w:rPr>
          <w:rFonts w:cs="Times New Roman" w:ascii="Times New Roman" w:hAnsi="Times New Roman"/>
          <w:sz w:val="36"/>
          <w:szCs w:val="36"/>
        </w:rPr>
        <w:t>о</w:t>
      </w:r>
      <w:r>
        <w:rPr>
          <w:rFonts w:cs="Times New Roman" w:ascii="Times New Roman" w:hAnsi="Times New Roman"/>
          <w:sz w:val="36"/>
          <w:szCs w:val="36"/>
          <w:lang w:val="tk-TM"/>
        </w:rPr>
        <w:t>управления в АБТИ;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3</Pages>
  <Words>295</Words>
  <Characters>2251</Characters>
  <CharactersWithSpaces>2902</CharactersWithSpaces>
  <Paragraphs>54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2021-10-13T16:14:42Z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